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276" w:lineRule="auto"/>
        <w:contextualSpacing w:val="0"/>
        <w:jc w:val="center"/>
      </w:pPr>
      <w:r w:rsidDel="00000000" w:rsidR="00000000" w:rsidRPr="00000000">
        <w:drawing>
          <wp:inline distB="114300" distT="114300" distL="114300" distR="114300">
            <wp:extent cx="4186238" cy="5859344"/>
            <wp:effectExtent b="0" l="0" r="0" t="0"/>
            <wp:docPr descr="Flyer.png" id="1" name="image02.png"/>
            <a:graphic>
              <a:graphicData uri="http://schemas.openxmlformats.org/drawingml/2006/picture">
                <pic:pic>
                  <pic:nvPicPr>
                    <pic:cNvPr descr="Flyer.png" id="0" name="image02.png"/>
                    <pic:cNvPicPr preferRelativeResize="0"/>
                  </pic:nvPicPr>
                  <pic:blipFill>
                    <a:blip r:embed="rId5"/>
                    <a:srcRect b="0" l="0" r="0" t="0"/>
                    <a:stretch>
                      <a:fillRect/>
                    </a:stretch>
                  </pic:blipFill>
                  <pic:spPr>
                    <a:xfrm>
                      <a:off x="0" y="0"/>
                      <a:ext cx="4186238" cy="5859344"/>
                    </a:xfrm>
                    <a:prstGeom prst="rect"/>
                    <a:ln/>
                  </pic:spPr>
                </pic:pic>
              </a:graphicData>
            </a:graphic>
          </wp:inline>
        </w:drawing>
      </w:r>
      <w:r w:rsidDel="00000000" w:rsidR="00000000" w:rsidRPr="00000000">
        <w:rPr>
          <w:rtl w:val="0"/>
        </w:rPr>
      </w:r>
    </w:p>
    <w:tbl>
      <w:tblPr>
        <w:tblStyle w:val="Table1"/>
        <w:bidi w:val="0"/>
        <w:tblW w:w="9405.0" w:type="dxa"/>
        <w:jc w:val="left"/>
        <w:tblInd w:w="-650.0" w:type="dxa"/>
        <w:tblBorders>
          <w:top w:color="000001" w:space="0" w:sz="4" w:val="single"/>
          <w:left w:color="000001" w:space="0" w:sz="4" w:val="single"/>
          <w:bottom w:color="000001" w:space="0" w:sz="4" w:val="single"/>
          <w:right w:color="000001" w:space="0" w:sz="4" w:val="single"/>
        </w:tblBorders>
        <w:tblLayout w:type="fixed"/>
        <w:tblLook w:val="0000"/>
      </w:tblPr>
      <w:tblGrid>
        <w:gridCol w:w="3285"/>
        <w:gridCol w:w="6120"/>
        <w:tblGridChange w:id="0">
          <w:tblGrid>
            <w:gridCol w:w="3285"/>
            <w:gridCol w:w="6120"/>
          </w:tblGrid>
        </w:tblGridChange>
      </w:tblGrid>
      <w:tr>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360" w:lineRule="auto"/>
              <w:contextualSpacing w:val="0"/>
            </w:pPr>
            <w:r w:rsidDel="00000000" w:rsidR="00000000" w:rsidRPr="00000000">
              <w:rPr>
                <w:b w:val="1"/>
                <w:sz w:val="20"/>
                <w:szCs w:val="20"/>
                <w:rtl w:val="0"/>
              </w:rPr>
              <w:t xml:space="preserve">Name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360" w:lineRule="auto"/>
              <w:contextualSpacing w:val="0"/>
            </w:pPr>
            <w:r w:rsidDel="00000000" w:rsidR="00000000" w:rsidRPr="00000000">
              <w:rPr>
                <w:b w:val="1"/>
                <w:sz w:val="20"/>
                <w:szCs w:val="20"/>
                <w:rtl w:val="0"/>
              </w:rPr>
              <w:t xml:space="preserve">Surname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360" w:lineRule="auto"/>
              <w:contextualSpacing w:val="0"/>
            </w:pPr>
            <w:r w:rsidDel="00000000" w:rsidR="00000000" w:rsidRPr="00000000">
              <w:rPr>
                <w:b w:val="1"/>
                <w:sz w:val="20"/>
                <w:szCs w:val="20"/>
                <w:rtl w:val="0"/>
              </w:rPr>
              <w:t xml:space="preserve">Title (Dr., Professor, etc.)</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360" w:lineRule="auto"/>
              <w:contextualSpacing w:val="0"/>
            </w:pPr>
            <w:r w:rsidDel="00000000" w:rsidR="00000000" w:rsidRPr="00000000">
              <w:rPr>
                <w:b w:val="1"/>
                <w:sz w:val="20"/>
                <w:szCs w:val="20"/>
                <w:rtl w:val="0"/>
              </w:rPr>
              <w:t xml:space="preserve">Institution (if applicable)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360" w:lineRule="auto"/>
              <w:contextualSpacing w:val="0"/>
            </w:pPr>
            <w:r w:rsidDel="00000000" w:rsidR="00000000" w:rsidRPr="00000000">
              <w:rPr>
                <w:b w:val="1"/>
                <w:sz w:val="20"/>
                <w:szCs w:val="20"/>
                <w:rtl w:val="0"/>
              </w:rPr>
              <w:t xml:space="preserve">Full postal address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360" w:lineRule="auto"/>
              <w:contextualSpacing w:val="0"/>
            </w:pPr>
            <w:r w:rsidDel="00000000" w:rsidR="00000000" w:rsidRPr="00000000">
              <w:rPr>
                <w:b w:val="1"/>
                <w:sz w:val="20"/>
                <w:szCs w:val="20"/>
                <w:rtl w:val="0"/>
              </w:rPr>
              <w:t xml:space="preserve">Country</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360" w:lineRule="auto"/>
              <w:contextualSpacing w:val="0"/>
            </w:pPr>
            <w:r w:rsidDel="00000000" w:rsidR="00000000" w:rsidRPr="00000000">
              <w:rPr>
                <w:b w:val="1"/>
                <w:sz w:val="20"/>
                <w:szCs w:val="20"/>
                <w:rtl w:val="0"/>
              </w:rPr>
              <w:t xml:space="preserve">Email address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360" w:lineRule="auto"/>
              <w:contextualSpacing w:val="0"/>
            </w:pPr>
            <w:r w:rsidDel="00000000" w:rsidR="00000000" w:rsidRPr="00000000">
              <w:rPr>
                <w:b w:val="1"/>
                <w:sz w:val="20"/>
                <w:szCs w:val="20"/>
                <w:rtl w:val="0"/>
              </w:rPr>
              <w:t xml:space="preserve">Best Phone number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360" w:lineRule="auto"/>
              <w:contextualSpacing w:val="0"/>
            </w:pPr>
            <w:r w:rsidDel="00000000" w:rsidR="00000000" w:rsidRPr="00000000">
              <w:rPr>
                <w:b w:val="1"/>
                <w:sz w:val="20"/>
                <w:szCs w:val="20"/>
                <w:rtl w:val="0"/>
              </w:rPr>
              <w:t xml:space="preserve">Website: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pStyle w:val="Heading2"/>
        <w:keepNext w:val="0"/>
        <w:keepLines w:val="0"/>
        <w:spacing w:after="100" w:before="100" w:line="342" w:lineRule="auto"/>
        <w:contextualSpacing w:val="0"/>
      </w:pPr>
      <w:bookmarkStart w:colFirst="0" w:colLast="0" w:name="h.gjdgxs" w:id="0"/>
      <w:bookmarkEnd w:id="0"/>
      <w:r w:rsidDel="00000000" w:rsidR="00000000" w:rsidRPr="00000000">
        <w:rPr>
          <w:b w:val="1"/>
          <w:sz w:val="23"/>
          <w:szCs w:val="23"/>
          <w:rtl w:val="0"/>
        </w:rPr>
        <w:t xml:space="preserve">Please let us know the Issues that are most important to you:</w:t>
      </w:r>
      <w:r w:rsidDel="00000000" w:rsidR="00000000" w:rsidRPr="00000000">
        <w:rPr>
          <w:rtl w:val="0"/>
        </w:rPr>
      </w:r>
    </w:p>
    <w:tbl>
      <w:tblPr>
        <w:tblStyle w:val="Table2"/>
        <w:bidi w:val="0"/>
        <w:tblW w:w="9000.0" w:type="dxa"/>
        <w:jc w:val="left"/>
        <w:tblInd w:w="-340.1574803149606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000"/>
        <w:gridCol w:w="3000"/>
        <w:gridCol w:w="3000"/>
        <w:tblGridChange w:id="0">
          <w:tblGrid>
            <w:gridCol w:w="3000"/>
            <w:gridCol w:w="3000"/>
            <w:gridCol w:w="3000"/>
          </w:tblGrid>
        </w:tblGridChange>
      </w:tblGrid>
      <w:tr>
        <w:tc>
          <w:tcPr>
            <w:tcMar>
              <w:top w:w="85.03937007874016" w:type="dxa"/>
              <w:left w:w="85.03937007874016" w:type="dxa"/>
              <w:bottom w:w="85.03937007874016" w:type="dxa"/>
              <w:right w:w="85.03937007874016" w:type="dxa"/>
            </w:tcMar>
          </w:tcPr>
          <w:p w:rsidR="00000000" w:rsidDel="00000000" w:rsidP="00000000" w:rsidRDefault="00000000" w:rsidRPr="00000000">
            <w:pPr>
              <w:pStyle w:val="Heading2"/>
              <w:keepNext w:val="0"/>
              <w:keepLines w:val="0"/>
              <w:spacing w:after="100" w:before="100" w:line="240" w:lineRule="auto"/>
              <w:contextualSpacing w:val="0"/>
            </w:pPr>
            <w:bookmarkStart w:colFirst="0" w:colLast="0" w:name="h.30j0zll" w:id="1"/>
            <w:bookmarkEnd w:id="1"/>
            <w:r w:rsidDel="00000000" w:rsidR="00000000" w:rsidRPr="00000000">
              <w:rPr>
                <w:b w:val="1"/>
                <w:sz w:val="23"/>
                <w:szCs w:val="23"/>
                <w:rtl w:val="0"/>
              </w:rPr>
              <w:t xml:space="preserve">Social Justice: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20" w:line="240" w:lineRule="auto"/>
              <w:contextualSpacing w:val="0"/>
            </w:pPr>
            <w:r w:rsidDel="00000000" w:rsidR="00000000" w:rsidRPr="00000000">
              <w:rPr>
                <w:b w:val="1"/>
                <w:sz w:val="23"/>
                <w:szCs w:val="23"/>
                <w:rtl w:val="0"/>
              </w:rPr>
              <w:t xml:space="preserve">Environmental Justice: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20" w:line="240" w:lineRule="auto"/>
              <w:contextualSpacing w:val="0"/>
            </w:pPr>
            <w:r w:rsidDel="00000000" w:rsidR="00000000" w:rsidRPr="00000000">
              <w:rPr>
                <w:b w:val="1"/>
                <w:sz w:val="23"/>
                <w:szCs w:val="23"/>
                <w:rtl w:val="0"/>
              </w:rPr>
              <w:t xml:space="preserve">Economic Justice: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342" w:lineRule="auto"/>
              <w:contextualSpacing w:val="0"/>
            </w:pPr>
            <w:r w:rsidDel="00000000" w:rsidR="00000000" w:rsidRPr="00000000">
              <w:rPr>
                <w:sz w:val="18"/>
                <w:szCs w:val="18"/>
                <w:rtl w:val="0"/>
              </w:rPr>
              <w:t xml:space="preserve">- Human Rights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Healthcare &amp; Well-being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Agrarian Reform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Genetically-Modified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Food &amp; Food Justice Issues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Animal Welfare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Corruption &amp; Transparency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Combating Poverty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Women's Empowerment &amp; Rights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Minorities &amp; Indigenous Peoples' Welfare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Education Reform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Youth Engagement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Employment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Democracy &amp; Gov’t Reform</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Other(s):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342" w:lineRule="auto"/>
              <w:contextualSpacing w:val="0"/>
            </w:pPr>
            <w:r w:rsidDel="00000000" w:rsidR="00000000" w:rsidRPr="00000000">
              <w:rPr>
                <w:sz w:val="18"/>
                <w:szCs w:val="18"/>
                <w:rtl w:val="0"/>
              </w:rPr>
              <w:t xml:space="preserve">- Climate Change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Biodiversity Loss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Deforestation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Pollution &amp; Waste Management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Ocean Acidification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Fracking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Soil Erosion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Genetically-Modified Crops &amp; Organisms Issues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Exploitation of Natural Resources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Overfishing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Renewable &amp; Alt.Energy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Nat’l / Int’l Environmental Law &amp; Policy-Making</w:t>
            </w:r>
            <w:r w:rsidDel="00000000" w:rsidR="00000000" w:rsidRPr="00000000">
              <w:rPr>
                <w:rtl w:val="0"/>
              </w:rPr>
            </w:r>
          </w:p>
          <w:p w:rsidR="00000000" w:rsidDel="00000000" w:rsidP="00000000" w:rsidRDefault="00000000" w:rsidRPr="00000000">
            <w:pPr>
              <w:spacing w:after="220" w:before="0" w:line="342" w:lineRule="auto"/>
              <w:contextualSpacing w:val="0"/>
            </w:pPr>
            <w:r w:rsidDel="00000000" w:rsidR="00000000" w:rsidRPr="00000000">
              <w:rPr>
                <w:sz w:val="18"/>
                <w:szCs w:val="18"/>
                <w:rtl w:val="0"/>
              </w:rPr>
              <w:t xml:space="preserve">- Other(s):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342" w:lineRule="auto"/>
              <w:contextualSpacing w:val="0"/>
            </w:pPr>
            <w:r w:rsidDel="00000000" w:rsidR="00000000" w:rsidRPr="00000000">
              <w:rPr>
                <w:sz w:val="18"/>
                <w:szCs w:val="18"/>
                <w:rtl w:val="0"/>
              </w:rPr>
              <w:t xml:space="preserve">- Reforming &amp; Rebalancing Economics</w:t>
            </w:r>
            <w:r w:rsidDel="00000000" w:rsidR="00000000" w:rsidRPr="00000000">
              <w:rPr>
                <w:rtl w:val="0"/>
              </w:rPr>
            </w:r>
          </w:p>
          <w:p w:rsidR="00000000" w:rsidDel="00000000" w:rsidP="00000000" w:rsidRDefault="00000000" w:rsidRPr="00000000">
            <w:pPr>
              <w:spacing w:after="0" w:line="342" w:lineRule="auto"/>
              <w:contextualSpacing w:val="0"/>
            </w:pPr>
            <w:r w:rsidDel="00000000" w:rsidR="00000000" w:rsidRPr="00000000">
              <w:rPr>
                <w:sz w:val="18"/>
                <w:szCs w:val="18"/>
                <w:rtl w:val="0"/>
              </w:rPr>
              <w:t xml:space="preserve">- Banking &amp; Financial System Reform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Business &amp; Corporate Social Responsibility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Social Enterprises &amp; Entrepreneurship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Social Banking &amp; Microfinance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Supply Chain &amp; Sourcing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Citizens' Income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Economic Development </w:t>
            </w:r>
            <w:r w:rsidDel="00000000" w:rsidR="00000000" w:rsidRPr="00000000">
              <w:rPr>
                <w:rtl w:val="0"/>
              </w:rPr>
            </w:r>
          </w:p>
          <w:p w:rsidR="00000000" w:rsidDel="00000000" w:rsidP="00000000" w:rsidRDefault="00000000" w:rsidRPr="00000000">
            <w:pPr>
              <w:spacing w:after="0" w:before="0" w:line="342" w:lineRule="auto"/>
              <w:contextualSpacing w:val="0"/>
            </w:pPr>
            <w:r w:rsidDel="00000000" w:rsidR="00000000" w:rsidRPr="00000000">
              <w:rPr>
                <w:sz w:val="18"/>
                <w:szCs w:val="18"/>
                <w:rtl w:val="0"/>
              </w:rPr>
              <w:t xml:space="preserve">- Women's Unequal Pay &amp; Poverty</w:t>
            </w:r>
            <w:r w:rsidDel="00000000" w:rsidR="00000000" w:rsidRPr="00000000">
              <w:rPr>
                <w:rtl w:val="0"/>
              </w:rPr>
            </w:r>
          </w:p>
          <w:p w:rsidR="00000000" w:rsidDel="00000000" w:rsidP="00000000" w:rsidRDefault="00000000" w:rsidRPr="00000000">
            <w:pPr>
              <w:spacing w:after="220" w:before="0" w:line="342" w:lineRule="auto"/>
              <w:contextualSpacing w:val="0"/>
            </w:pPr>
            <w:r w:rsidDel="00000000" w:rsidR="00000000" w:rsidRPr="00000000">
              <w:rPr>
                <w:sz w:val="18"/>
                <w:szCs w:val="18"/>
                <w:rtl w:val="0"/>
              </w:rPr>
              <w:t xml:space="preserve">- Other(s):</w:t>
            </w:r>
            <w:r w:rsidDel="00000000" w:rsidR="00000000" w:rsidRPr="00000000">
              <w:rPr>
                <w:rtl w:val="0"/>
              </w:rPr>
            </w:r>
          </w:p>
        </w:tc>
      </w:tr>
    </w:tbl>
    <w:p w:rsidR="00000000" w:rsidDel="00000000" w:rsidP="00000000" w:rsidRDefault="00000000" w:rsidRPr="00000000">
      <w:pPr>
        <w:spacing w:after="0" w:line="342" w:lineRule="auto"/>
        <w:contextualSpacing w:val="0"/>
      </w:pPr>
      <w:r w:rsidDel="00000000" w:rsidR="00000000" w:rsidRPr="00000000">
        <w:rPr>
          <w:rtl w:val="0"/>
        </w:rPr>
      </w:r>
    </w:p>
    <w:tbl>
      <w:tblPr>
        <w:tblStyle w:val="Table3"/>
        <w:bidi w:val="0"/>
        <w:tblW w:w="10440.0" w:type="dxa"/>
        <w:jc w:val="left"/>
        <w:tblInd w:w="-678.0" w:type="dxa"/>
        <w:tblBorders>
          <w:top w:color="000001" w:space="0" w:sz="4" w:val="single"/>
          <w:left w:color="000001" w:space="0" w:sz="4" w:val="single"/>
          <w:bottom w:color="000001" w:space="0" w:sz="4" w:val="single"/>
          <w:right w:color="000001" w:space="0" w:sz="4" w:val="single"/>
        </w:tblBorders>
        <w:tblLayout w:type="fixed"/>
        <w:tblLook w:val="0000"/>
      </w:tblPr>
      <w:tblGrid>
        <w:gridCol w:w="5835"/>
        <w:gridCol w:w="1950"/>
        <w:gridCol w:w="360"/>
        <w:gridCol w:w="1935"/>
        <w:gridCol w:w="360"/>
        <w:tblGridChange w:id="0">
          <w:tblGrid>
            <w:gridCol w:w="5835"/>
            <w:gridCol w:w="1950"/>
            <w:gridCol w:w="360"/>
            <w:gridCol w:w="1935"/>
            <w:gridCol w:w="360"/>
          </w:tblGrid>
        </w:tblGridChange>
      </w:tblGrid>
      <w:tr>
        <w:trPr>
          <w:trHeight w:val="480" w:hRule="atLeast"/>
        </w:trPr>
        <w:tc>
          <w:tcPr>
            <w:tcBorders>
              <w:top w:color="000001" w:space="0" w:sz="4" w:val="single"/>
              <w:left w:color="000001" w:space="0" w:sz="4" w:val="single"/>
              <w:bottom w:color="000001" w:space="0" w:sz="4" w:val="single"/>
              <w:right w:color="000001" w:space="0" w:sz="4" w:val="single"/>
            </w:tcBorders>
            <w:shd w:fill="ffff99"/>
            <w:tcMar>
              <w:left w:w="108.0" w:type="dxa"/>
              <w:right w:w="108.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SPECIAL RATE: Expires July 31,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0" w:line="342" w:lineRule="auto"/>
              <w:contextualSpacing w:val="0"/>
            </w:pPr>
            <w:r w:rsidDel="00000000" w:rsidR="00000000" w:rsidRPr="00000000">
              <w:rPr>
                <w:rtl w:val="0"/>
              </w:rPr>
              <w:t xml:space="preserve">To celebrate our 11th Annual Green Economics Institute Conference, we are offering a SPECIAL MEMBERSHIP RATE: </w:t>
            </w:r>
            <w:r w:rsidDel="00000000" w:rsidR="00000000" w:rsidRPr="00000000">
              <w:rPr>
                <w:b w:val="1"/>
                <w:rtl w:val="0"/>
              </w:rPr>
              <w:t xml:space="preserve">£45 for 2016 Regular Institute Membership. </w:t>
            </w:r>
          </w:p>
        </w:tc>
        <w:tc>
          <w:tcPr>
            <w:tcBorders>
              <w:top w:color="000001" w:space="0" w:sz="4" w:val="single"/>
              <w:left w:color="000001" w:space="0" w:sz="4" w:val="single"/>
              <w:bottom w:color="000001" w:space="0" w:sz="4" w:val="single"/>
              <w:right w:color="000001" w:space="0" w:sz="4" w:val="single"/>
            </w:tcBorders>
            <w:shd w:fill="ffff99"/>
            <w:tcMar>
              <w:left w:w="108.0" w:type="dxa"/>
              <w:right w:w="108.0" w:type="dxa"/>
            </w:tcMar>
          </w:tcPr>
          <w:p w:rsidR="00000000" w:rsidDel="00000000" w:rsidP="00000000" w:rsidRDefault="00000000" w:rsidRPr="00000000">
            <w:pPr>
              <w:spacing w:line="342" w:lineRule="auto"/>
              <w:contextualSpacing w:val="0"/>
            </w:pPr>
            <w:r w:rsidDel="00000000" w:rsidR="00000000" w:rsidRPr="00000000">
              <w:rPr>
                <w:rtl w:val="0"/>
              </w:rPr>
              <w:t xml:space="preserve">Available to the </w:t>
            </w:r>
            <w:r w:rsidDel="00000000" w:rsidR="00000000" w:rsidRPr="00000000">
              <w:rPr>
                <w:u w:val="single"/>
                <w:rtl w:val="0"/>
              </w:rPr>
              <w:t xml:space="preserve">first 100 </w:t>
            </w:r>
            <w:r w:rsidDel="00000000" w:rsidR="00000000" w:rsidRPr="00000000">
              <w:rPr>
                <w:rtl w:val="0"/>
              </w:rPr>
              <w:t xml:space="preserve">interested until July 31st, 2016.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99"/>
            <w:tcMar>
              <w:left w:w="108.0" w:type="dxa"/>
              <w:right w:w="108.0" w:type="dxa"/>
            </w:tcMar>
          </w:tcPr>
          <w:p w:rsidR="00000000" w:rsidDel="00000000" w:rsidP="00000000" w:rsidRDefault="00000000" w:rsidRPr="00000000">
            <w:pPr>
              <w:spacing w:after="200" w:line="240" w:lineRule="auto"/>
              <w:contextualSpacing w:val="0"/>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99"/>
            <w:tcMar>
              <w:left w:w="108.0" w:type="dxa"/>
              <w:right w:w="108.0" w:type="dxa"/>
            </w:tcMar>
          </w:tcPr>
          <w:p w:rsidR="00000000" w:rsidDel="00000000" w:rsidP="00000000" w:rsidRDefault="00000000" w:rsidRPr="00000000">
            <w:pPr>
              <w:spacing w:line="342" w:lineRule="auto"/>
              <w:contextualSpacing w:val="0"/>
            </w:pPr>
            <w:hyperlink r:id="rId6">
              <w:r w:rsidDel="00000000" w:rsidR="00000000" w:rsidRPr="00000000">
                <w:rPr>
                  <w:color w:val="1155cc"/>
                  <w:u w:val="single"/>
                  <w:rtl w:val="0"/>
                </w:rPr>
                <w:t xml:space="preserve">Email our team</w:t>
              </w:r>
            </w:hyperlink>
            <w:r w:rsidDel="00000000" w:rsidR="00000000" w:rsidRPr="00000000">
              <w:rPr>
                <w:rtl w:val="0"/>
              </w:rPr>
              <w:t xml:space="preserve"> to claim your special rate of only </w:t>
            </w:r>
            <w:r w:rsidDel="00000000" w:rsidR="00000000" w:rsidRPr="00000000">
              <w:rPr>
                <w:b w:val="1"/>
                <w:rtl w:val="0"/>
              </w:rPr>
              <w:t xml:space="preserve">£45 for 2016 </w:t>
            </w:r>
          </w:p>
        </w:tc>
        <w:tc>
          <w:tcPr>
            <w:tcBorders>
              <w:top w:color="000001" w:space="0" w:sz="4" w:val="single"/>
              <w:left w:color="000001" w:space="0" w:sz="4" w:val="single"/>
              <w:bottom w:color="000001" w:space="0" w:sz="4" w:val="single"/>
              <w:right w:color="000001" w:space="0" w:sz="4" w:val="single"/>
            </w:tcBorders>
            <w:shd w:fill="ffff99"/>
            <w:tcMar>
              <w:left w:w="108.0" w:type="dxa"/>
              <w:right w:w="108.0" w:type="dxa"/>
            </w:tcMar>
          </w:tcPr>
          <w:p w:rsidR="00000000" w:rsidDel="00000000" w:rsidP="00000000" w:rsidRDefault="00000000" w:rsidRPr="00000000">
            <w:pPr>
              <w:spacing w:after="200" w:line="240" w:lineRule="auto"/>
              <w:contextualSpacing w:val="0"/>
            </w:pPr>
            <w:r w:rsidDel="00000000" w:rsidR="00000000" w:rsidRPr="00000000">
              <w:rPr>
                <w:rtl w:val="0"/>
              </w:rPr>
            </w:r>
          </w:p>
        </w:tc>
      </w:tr>
      <w:tr>
        <w:trPr>
          <w:trHeight w:val="480" w:hRule="atLeast"/>
        </w:trPr>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before="200" w:line="240" w:lineRule="auto"/>
              <w:contextualSpacing w:val="0"/>
            </w:pPr>
            <w:r w:rsidDel="00000000" w:rsidR="00000000" w:rsidRPr="00000000">
              <w:rPr>
                <w:u w:val="single"/>
                <w:rtl w:val="0"/>
              </w:rPr>
              <w:t xml:space="preserve">Membership: Monthly Subscription OR Annual Fees:</w:t>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before="200" w:line="240" w:lineRule="auto"/>
              <w:contextualSpacing w:val="0"/>
            </w:pPr>
            <w:r w:rsidDel="00000000" w:rsidR="00000000" w:rsidRPr="00000000">
              <w:rPr>
                <w:u w:val="single"/>
                <w:rtl w:val="0"/>
              </w:rPr>
              <w:t xml:space="preserve">Donate Monthly</w:t>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before="200" w:line="240" w:lineRule="auto"/>
              <w:contextualSpacing w:val="0"/>
            </w:pPr>
            <w:r w:rsidDel="00000000" w:rsidR="00000000" w:rsidRPr="00000000">
              <w:rPr>
                <w:u w:val="single"/>
                <w:rtl w:val="0"/>
              </w:rPr>
              <w:t xml:space="preserve">X</w:t>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before="200" w:line="240" w:lineRule="auto"/>
              <w:contextualSpacing w:val="0"/>
            </w:pPr>
            <w:r w:rsidDel="00000000" w:rsidR="00000000" w:rsidRPr="00000000">
              <w:rPr>
                <w:u w:val="single"/>
                <w:rtl w:val="0"/>
              </w:rPr>
              <w:t xml:space="preserve">Donate Annually</w:t>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before="200" w:line="240" w:lineRule="auto"/>
              <w:contextualSpacing w:val="0"/>
            </w:pPr>
            <w:r w:rsidDel="00000000" w:rsidR="00000000" w:rsidRPr="00000000">
              <w:rPr>
                <w:b w:val="1"/>
                <w:rtl w:val="0"/>
              </w:rPr>
              <w:t xml:space="preserve">X</w:t>
            </w:r>
            <w:r w:rsidDel="00000000" w:rsidR="00000000" w:rsidRPr="00000000">
              <w:rPr>
                <w:rtl w:val="0"/>
              </w:rPr>
            </w:r>
          </w:p>
        </w:tc>
      </w:tr>
      <w:tr>
        <w:trPr>
          <w:trHeight w:val="340" w:hRule="atLeast"/>
        </w:trPr>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Regular Institute Membership: </w:t>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£5 / month</w:t>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line="240" w:lineRule="auto"/>
              <w:contextualSpacing w:val="0"/>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£60 / year</w:t>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line="240" w:lineRule="auto"/>
              <w:contextualSpacing w:val="0"/>
            </w:pPr>
            <w:r w:rsidDel="00000000" w:rsidR="00000000" w:rsidRPr="00000000">
              <w:rPr>
                <w:rtl w:val="0"/>
              </w:rPr>
            </w:r>
          </w:p>
        </w:tc>
      </w:tr>
      <w:tr>
        <w:trPr>
          <w:trHeight w:val="340" w:hRule="atLeast"/>
        </w:trPr>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International Expert Membership:</w:t>
            </w:r>
          </w:p>
          <w:p w:rsidR="00000000" w:rsidDel="00000000" w:rsidP="00000000" w:rsidRDefault="00000000" w:rsidRPr="00000000">
            <w:pPr>
              <w:spacing w:after="200" w:line="240" w:lineRule="auto"/>
              <w:contextualSpacing w:val="0"/>
            </w:pPr>
            <w:r w:rsidDel="00000000" w:rsidR="00000000" w:rsidRPr="00000000">
              <w:rPr>
                <w:rtl w:val="0"/>
              </w:rPr>
              <w:t xml:space="preserve">To apply for this level of membership, please </w:t>
            </w:r>
            <w:hyperlink r:id="rId7">
              <w:r w:rsidDel="00000000" w:rsidR="00000000" w:rsidRPr="00000000">
                <w:rPr>
                  <w:color w:val="1155cc"/>
                  <w:u w:val="single"/>
                  <w:rtl w:val="0"/>
                </w:rPr>
                <w:t xml:space="preserve">email</w:t>
              </w:r>
            </w:hyperlink>
            <w:r w:rsidDel="00000000" w:rsidR="00000000" w:rsidRPr="00000000">
              <w:rPr>
                <w:rtl w:val="0"/>
              </w:rPr>
              <w:t xml:space="preserve"> this form along with your biography &amp; CV.</w:t>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£10 / month</w:t>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line="240" w:lineRule="auto"/>
              <w:contextualSpacing w:val="0"/>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line="240" w:lineRule="auto"/>
              <w:contextualSpacing w:val="0"/>
            </w:pPr>
            <w:r w:rsidDel="00000000" w:rsidR="00000000" w:rsidRPr="00000000">
              <w:rPr>
                <w:rtl w:val="0"/>
              </w:rPr>
              <w:t xml:space="preserve">£120 / year</w:t>
            </w:r>
          </w:p>
        </w:tc>
        <w:tc>
          <w:tcPr>
            <w:tcBorders>
              <w:top w:color="000001" w:space="0" w:sz="4" w:val="single"/>
              <w:left w:color="000001" w:space="0" w:sz="4" w:val="single"/>
              <w:bottom w:color="000001" w:space="0" w:sz="4" w:val="single"/>
              <w:right w:color="000001" w:space="0" w:sz="4" w:val="single"/>
            </w:tcBorders>
            <w:tcMar>
              <w:left w:w="108.0" w:type="dxa"/>
              <w:right w:w="108.0" w:type="dxa"/>
            </w:tcMar>
          </w:tcPr>
          <w:p w:rsidR="00000000" w:rsidDel="00000000" w:rsidP="00000000" w:rsidRDefault="00000000" w:rsidRPr="00000000">
            <w:pPr>
              <w:spacing w:after="200" w:line="240" w:lineRule="auto"/>
              <w:contextualSpacing w:val="0"/>
            </w:pPr>
            <w:r w:rsidDel="00000000" w:rsidR="00000000" w:rsidRPr="00000000">
              <w:rPr>
                <w:rtl w:val="0"/>
              </w:rPr>
            </w:r>
          </w:p>
        </w:tc>
      </w:tr>
    </w:tbl>
    <w:p w:rsidR="00000000" w:rsidDel="00000000" w:rsidP="00000000" w:rsidRDefault="00000000" w:rsidRPr="00000000">
      <w:pPr>
        <w:spacing w:after="320" w:before="80" w:line="240" w:lineRule="auto"/>
        <w:contextualSpacing w:val="0"/>
        <w:jc w:val="left"/>
      </w:pPr>
      <w:r w:rsidDel="00000000" w:rsidR="00000000" w:rsidRPr="00000000">
        <w:rPr>
          <w:b w:val="1"/>
          <w:u w:val="single"/>
          <w:rtl w:val="0"/>
        </w:rPr>
        <w:t xml:space="preserve">Thank you for your generous donation of support which makes the Institute’s work possible. We look forward to welcoming you to the Green Economics Institute’s International Membership Network and Our Global Green Economics Community.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8"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drawing>
        <wp:inline distB="114300" distT="114300" distL="114300" distR="114300">
          <wp:extent cx="5734050" cy="749300"/>
          <wp:effectExtent b="0" l="0" r="0" t="0"/>
          <wp:docPr descr="Untitled design (1).jpg" id="2" name="image03.jpg"/>
          <a:graphic>
            <a:graphicData uri="http://schemas.openxmlformats.org/drawingml/2006/picture">
              <pic:pic>
                <pic:nvPicPr>
                  <pic:cNvPr descr="Untitled design (1).jpg" id="0" name="image03.jpg"/>
                  <pic:cNvPicPr preferRelativeResize="0"/>
                </pic:nvPicPr>
                <pic:blipFill>
                  <a:blip r:embed="rId1"/>
                  <a:srcRect b="0" l="0" r="0" t="0"/>
                  <a:stretch>
                    <a:fillRect/>
                  </a:stretch>
                </pic:blipFill>
                <pic:spPr>
                  <a:xfrm>
                    <a:off x="0" y="0"/>
                    <a:ext cx="5734050" cy="749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hyperlink" Target="mailto:membership@greeneconomicsinstitute.com" TargetMode="External"/><Relationship Id="rId7" Type="http://schemas.openxmlformats.org/officeDocument/2006/relationships/hyperlink" Target="mailto:membership@greeneconomicsinstitute.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3.jpg"/></Relationships>
</file>